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 «ГАЛКИНСКОЕ»</w:t>
      </w:r>
    </w:p>
    <w:p>
      <w:pPr>
        <w:rPr>
          <w:b/>
          <w:sz w:val="28"/>
          <w:szCs w:val="28"/>
        </w:rPr>
      </w:pPr>
    </w:p>
    <w:p>
      <w:pPr>
        <w:widowControl w:val="0"/>
        <w:autoSpaceDE w:val="0"/>
        <w:autoSpaceDN w:val="0"/>
        <w:adjustRightInd w:val="0"/>
        <w:ind w:right="200"/>
        <w:jc w:val="center"/>
        <w:rPr>
          <w:b/>
          <w:bCs/>
          <w:iCs/>
          <w:sz w:val="32"/>
          <w:szCs w:val="32"/>
        </w:rPr>
      </w:pPr>
      <w:r>
        <w:rPr>
          <w:b/>
          <w:bCs/>
          <w:iCs/>
          <w:sz w:val="24"/>
          <w:szCs w:val="24"/>
        </w:rPr>
        <w:t xml:space="preserve"> </w:t>
      </w:r>
      <w:r>
        <w:rPr>
          <w:b/>
          <w:bCs/>
          <w:iCs/>
          <w:sz w:val="32"/>
          <w:szCs w:val="32"/>
        </w:rPr>
        <w:t>ПОСТАНОВЛЕНИЕ</w:t>
      </w:r>
    </w:p>
    <w:p>
      <w:pPr>
        <w:widowControl w:val="0"/>
        <w:tabs>
          <w:tab w:val="left" w:pos="7290"/>
        </w:tabs>
        <w:autoSpaceDE w:val="0"/>
        <w:autoSpaceDN w:val="0"/>
        <w:adjustRightInd w:val="0"/>
        <w:ind w:right="200"/>
        <w:rPr>
          <w:rFonts w:hint="default"/>
          <w:b/>
          <w:bCs/>
          <w:iCs/>
          <w:sz w:val="24"/>
          <w:szCs w:val="24"/>
          <w:lang w:val="ru-RU"/>
        </w:rPr>
      </w:pPr>
      <w:r>
        <w:rPr>
          <w:b/>
          <w:bCs/>
          <w:iCs/>
          <w:sz w:val="24"/>
          <w:szCs w:val="24"/>
        </w:rPr>
        <w:tab/>
      </w:r>
      <w:r>
        <w:rPr>
          <w:b/>
          <w:bCs/>
          <w:iCs/>
          <w:sz w:val="24"/>
          <w:szCs w:val="24"/>
        </w:rPr>
        <w:t xml:space="preserve"> </w:t>
      </w:r>
      <w:r>
        <w:rPr>
          <w:rFonts w:hint="default"/>
          <w:b/>
          <w:bCs/>
          <w:iCs/>
          <w:sz w:val="24"/>
          <w:szCs w:val="24"/>
          <w:lang w:val="ru-RU"/>
        </w:rPr>
        <w:t xml:space="preserve"> Проект</w:t>
      </w:r>
    </w:p>
    <w:p>
      <w:pPr>
        <w:tabs>
          <w:tab w:val="left" w:pos="270"/>
          <w:tab w:val="center" w:pos="4532"/>
        </w:tabs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«  « декабря </w:t>
      </w:r>
      <w:r>
        <w:rPr>
          <w:sz w:val="28"/>
          <w:szCs w:val="28"/>
        </w:rPr>
        <w:t xml:space="preserve"> 20</w:t>
      </w:r>
      <w:r>
        <w:rPr>
          <w:rFonts w:hint="default"/>
          <w:sz w:val="28"/>
          <w:szCs w:val="28"/>
          <w:lang w:val="ru-RU"/>
        </w:rPr>
        <w:t>21</w:t>
      </w:r>
      <w:r>
        <w:rPr>
          <w:sz w:val="28"/>
          <w:szCs w:val="28"/>
        </w:rPr>
        <w:t xml:space="preserve">                                                                                              № </w:t>
      </w:r>
      <w:r>
        <w:rPr>
          <w:rFonts w:hint="default"/>
          <w:sz w:val="28"/>
          <w:szCs w:val="28"/>
          <w:lang w:val="ru-RU"/>
        </w:rPr>
        <w:t xml:space="preserve"> </w:t>
      </w:r>
    </w:p>
    <w:p>
      <w:pPr>
        <w:tabs>
          <w:tab w:val="left" w:pos="270"/>
          <w:tab w:val="center" w:pos="4532"/>
        </w:tabs>
        <w:jc w:val="center"/>
        <w:rPr>
          <w:b/>
          <w:sz w:val="24"/>
          <w:szCs w:val="24"/>
        </w:rPr>
      </w:pPr>
      <w:r>
        <w:rPr>
          <w:sz w:val="28"/>
          <w:szCs w:val="28"/>
        </w:rPr>
        <w:t>с.Галкино</w:t>
      </w:r>
    </w:p>
    <w:p>
      <w:pPr>
        <w:jc w:val="center"/>
        <w:rPr>
          <w:sz w:val="24"/>
          <w:szCs w:val="24"/>
        </w:rPr>
      </w:pPr>
    </w:p>
    <w:p>
      <w:pPr>
        <w:jc w:val="center"/>
        <w:rPr>
          <w:sz w:val="24"/>
          <w:szCs w:val="24"/>
        </w:rPr>
      </w:pPr>
    </w:p>
    <w:p>
      <w:pPr>
        <w:pStyle w:val="10"/>
        <w:contextualSpacing/>
        <w:jc w:val="left"/>
        <w:rPr>
          <w:rFonts w:ascii="PT Astra Serif" w:hAnsi="PT Astra Serif" w:cs="Times New Roman"/>
          <w:b/>
          <w:bCs/>
          <w:sz w:val="28"/>
          <w:szCs w:val="28"/>
        </w:rPr>
      </w:pPr>
      <w:r>
        <w:rPr>
          <w:rFonts w:hint="default" w:ascii="PT Astra Serif" w:hAnsi="PT Astra Serif" w:cs="Times New Roman"/>
          <w:b/>
          <w:bCs/>
          <w:lang w:val="ru-RU"/>
        </w:rPr>
        <w:t xml:space="preserve"> </w:t>
      </w:r>
      <w:r>
        <w:rPr>
          <w:rFonts w:ascii="PT Astra Serif" w:hAnsi="PT Astra Serif" w:cs="Times New Roman"/>
          <w:b/>
          <w:bCs/>
          <w:sz w:val="28"/>
          <w:szCs w:val="28"/>
          <w:lang w:val="ru-RU"/>
        </w:rPr>
        <w:t>Об</w:t>
      </w:r>
      <w:r>
        <w:rPr>
          <w:rFonts w:hint="default" w:ascii="PT Astra Serif" w:hAnsi="PT Astra Serif" w:cs="Times New Roman"/>
          <w:b/>
          <w:bCs/>
          <w:sz w:val="28"/>
          <w:szCs w:val="28"/>
          <w:lang w:val="ru-RU"/>
        </w:rPr>
        <w:t xml:space="preserve"> утверждении программы   «П</w:t>
      </w:r>
      <w:r>
        <w:rPr>
          <w:rFonts w:ascii="PT Astra Serif" w:hAnsi="PT Astra Serif" w:cs="Times New Roman"/>
          <w:b/>
          <w:bCs/>
          <w:sz w:val="28"/>
          <w:szCs w:val="28"/>
        </w:rPr>
        <w:t>рофилактик</w:t>
      </w:r>
      <w:r>
        <w:rPr>
          <w:rFonts w:ascii="PT Astra Serif" w:hAnsi="PT Astra Serif" w:cs="Times New Roman"/>
          <w:b/>
          <w:bCs/>
          <w:sz w:val="28"/>
          <w:szCs w:val="28"/>
          <w:lang w:val="ru-RU"/>
        </w:rPr>
        <w:t>а</w:t>
      </w:r>
      <w:r>
        <w:rPr>
          <w:rFonts w:ascii="PT Astra Serif" w:hAnsi="PT Astra Serif" w:cs="Times New Roman"/>
          <w:b/>
          <w:bCs/>
          <w:sz w:val="28"/>
          <w:szCs w:val="28"/>
        </w:rPr>
        <w:t xml:space="preserve"> рисков причинения вреда (ущерба) охраняемым законом ценностям</w:t>
      </w:r>
      <w:r>
        <w:rPr>
          <w:rFonts w:hint="default" w:ascii="PT Astra Serif" w:hAnsi="PT Astra Serif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PT Astra Serif" w:hAnsi="PT Astra Serif" w:cs="Times New Roman"/>
          <w:b/>
          <w:bCs/>
          <w:sz w:val="28"/>
          <w:szCs w:val="28"/>
        </w:rPr>
        <w:t>при осуществлении муниципального контроля в сфере благоустройства на 202</w:t>
      </w:r>
      <w:r>
        <w:rPr>
          <w:rFonts w:hint="default" w:ascii="PT Astra Serif" w:hAnsi="PT Astra Serif" w:cs="Times New Roman"/>
          <w:b/>
          <w:bCs/>
          <w:sz w:val="28"/>
          <w:szCs w:val="28"/>
          <w:lang w:val="ru-RU"/>
        </w:rPr>
        <w:t>3</w:t>
      </w:r>
      <w:r>
        <w:rPr>
          <w:rFonts w:ascii="PT Astra Serif" w:hAnsi="PT Astra Serif" w:cs="Times New Roman"/>
          <w:b/>
          <w:bCs/>
          <w:sz w:val="28"/>
          <w:szCs w:val="28"/>
        </w:rPr>
        <w:t xml:space="preserve"> год</w:t>
      </w:r>
    </w:p>
    <w:p>
      <w:pPr>
        <w:ind w:right="-2"/>
        <w:jc w:val="left"/>
        <w:rPr>
          <w:rFonts w:hint="default"/>
          <w:b/>
          <w:bCs/>
          <w:sz w:val="28"/>
          <w:szCs w:val="28"/>
          <w:lang w:val="ru-RU"/>
        </w:rPr>
      </w:pPr>
    </w:p>
    <w:p>
      <w:pPr>
        <w:ind w:right="-2"/>
        <w:jc w:val="left"/>
        <w:rPr>
          <w:rFonts w:hint="default"/>
          <w:b w:val="0"/>
          <w:bCs w:val="0"/>
          <w:sz w:val="28"/>
          <w:szCs w:val="28"/>
          <w:lang w:val="ru-RU"/>
        </w:rPr>
      </w:pPr>
      <w:r>
        <w:rPr>
          <w:rFonts w:hint="default"/>
          <w:b w:val="0"/>
          <w:bCs w:val="0"/>
          <w:sz w:val="28"/>
          <w:szCs w:val="28"/>
          <w:lang w:val="ru-RU"/>
        </w:rPr>
        <w:t>На основании Федерального закона от 31 июля 2021 года № 248- ФЗ «О государственном контроле (надзоре) и муниципальном  контроле в Российской Федерации», Постановления Правительства Российской Федерации от 25 июня 2021 года № 990 «Об утверждении правил разработки и утверждения контрольными (надзорными) органамипрограммы профилактики рисков причинения вреда (ущерба) охраняемым законом ценностям», Администрация сельского поселения «Галкинское», постановляет:</w:t>
      </w:r>
    </w:p>
    <w:p>
      <w:pPr>
        <w:jc w:val="center"/>
        <w:rPr>
          <w:b/>
          <w:sz w:val="24"/>
          <w:szCs w:val="24"/>
        </w:rPr>
      </w:pPr>
    </w:p>
    <w:p>
      <w:pPr>
        <w:autoSpaceDE w:val="0"/>
        <w:autoSpaceDN w:val="0"/>
        <w:adjustRightInd w:val="0"/>
        <w:ind w:firstLine="540"/>
        <w:jc w:val="both"/>
        <w:rPr>
          <w:rFonts w:hint="default"/>
          <w:color w:val="000000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1. Утвердить  программу «Пр</w:t>
      </w:r>
      <w:r>
        <w:rPr>
          <w:bCs/>
          <w:sz w:val="28"/>
          <w:szCs w:val="28"/>
        </w:rPr>
        <w:t xml:space="preserve">офилактика </w:t>
      </w:r>
      <w:r>
        <w:rPr>
          <w:bCs/>
          <w:sz w:val="28"/>
          <w:szCs w:val="28"/>
          <w:lang w:val="ru-RU"/>
        </w:rPr>
        <w:t>рисков</w:t>
      </w:r>
      <w:r>
        <w:rPr>
          <w:rFonts w:hint="default"/>
          <w:bCs/>
          <w:sz w:val="28"/>
          <w:szCs w:val="28"/>
          <w:lang w:val="ru-RU"/>
        </w:rPr>
        <w:t xml:space="preserve"> причинения вреда (ущерба) охраняемым законом ценностям при осуществлении муниципального контроля в сфере благоустройства на 2023 год.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2. </w:t>
      </w:r>
      <w:r>
        <w:rPr>
          <w:color w:val="000000"/>
          <w:sz w:val="28"/>
          <w:szCs w:val="28"/>
          <w:lang w:val="ru-RU"/>
        </w:rPr>
        <w:t>Настоящее</w:t>
      </w:r>
      <w:r>
        <w:rPr>
          <w:rFonts w:hint="default"/>
          <w:color w:val="000000"/>
          <w:sz w:val="28"/>
          <w:szCs w:val="28"/>
          <w:lang w:val="ru-RU"/>
        </w:rPr>
        <w:t xml:space="preserve"> постановление о</w:t>
      </w:r>
      <w:r>
        <w:rPr>
          <w:color w:val="000000"/>
          <w:sz w:val="28"/>
          <w:szCs w:val="28"/>
        </w:rPr>
        <w:t>бнародовать</w:t>
      </w:r>
      <w:r>
        <w:rPr>
          <w:rFonts w:hint="default"/>
          <w:color w:val="000000"/>
          <w:sz w:val="28"/>
          <w:szCs w:val="28"/>
          <w:lang w:val="ru-RU"/>
        </w:rPr>
        <w:t xml:space="preserve"> на информационном стенде администрации, библиотеках сел Галкино, Зубарево, Савино</w:t>
      </w:r>
      <w:r>
        <w:rPr>
          <w:color w:val="000000"/>
          <w:sz w:val="28"/>
          <w:szCs w:val="28"/>
        </w:rPr>
        <w:t xml:space="preserve"> на официальном сайте «</w:t>
      </w:r>
      <w:r>
        <w:rPr>
          <w:color w:val="000000"/>
          <w:sz w:val="28"/>
          <w:szCs w:val="28"/>
          <w:lang w:val="ru-RU"/>
        </w:rPr>
        <w:t>галкинское</w:t>
      </w:r>
      <w:r>
        <w:rPr>
          <w:color w:val="000000"/>
          <w:sz w:val="28"/>
          <w:szCs w:val="28"/>
        </w:rPr>
        <w:t>.рф»</w:t>
      </w: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pStyle w:val="16"/>
        <w:spacing w:line="320" w:lineRule="exact"/>
        <w:ind w:left="390"/>
        <w:jc w:val="both"/>
        <w:rPr>
          <w:sz w:val="24"/>
          <w:szCs w:val="24"/>
        </w:rPr>
      </w:pPr>
    </w:p>
    <w:p>
      <w:pPr>
        <w:spacing w:line="140" w:lineRule="atLeast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Глава  сельского поселения «Галкинское»                          </w:t>
      </w:r>
      <w:r>
        <w:rPr>
          <w:sz w:val="28"/>
          <w:szCs w:val="28"/>
          <w:lang w:val="ru-RU"/>
        </w:rPr>
        <w:t>С</w:t>
      </w:r>
      <w:r>
        <w:rPr>
          <w:rFonts w:hint="default"/>
          <w:sz w:val="28"/>
          <w:szCs w:val="28"/>
          <w:lang w:val="ru-RU"/>
        </w:rPr>
        <w:t>.П.Комогорцев</w:t>
      </w:r>
    </w:p>
    <w:p>
      <w:pPr>
        <w:spacing w:line="140" w:lineRule="atLeast"/>
        <w:jc w:val="center"/>
        <w:rPr>
          <w:sz w:val="28"/>
          <w:szCs w:val="28"/>
        </w:rPr>
      </w:pPr>
    </w:p>
    <w:p>
      <w:pPr>
        <w:pStyle w:val="10"/>
        <w:contextualSpacing/>
        <w:jc w:val="both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УТВЕРЖДЕНА</w:t>
      </w: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Постановлением администрации</w:t>
      </w:r>
    </w:p>
    <w:p>
      <w:pPr>
        <w:pStyle w:val="10"/>
        <w:wordWrap w:val="0"/>
        <w:contextualSpacing/>
        <w:jc w:val="right"/>
        <w:rPr>
          <w:rFonts w:hint="default" w:ascii="Times New Roman" w:hAnsi="Times New Roman" w:cs="Times New Roman"/>
          <w:bCs/>
          <w:lang w:val="ru-RU"/>
        </w:rPr>
      </w:pPr>
      <w:r>
        <w:rPr>
          <w:rFonts w:ascii="Times New Roman" w:hAnsi="Times New Roman" w:cs="Times New Roman"/>
          <w:bCs/>
          <w:lang w:val="ru-RU"/>
        </w:rPr>
        <w:t>сельского</w:t>
      </w:r>
      <w:r>
        <w:rPr>
          <w:rFonts w:hint="default" w:ascii="Times New Roman" w:hAnsi="Times New Roman" w:cs="Times New Roman"/>
          <w:bCs/>
          <w:lang w:val="ru-RU"/>
        </w:rPr>
        <w:t xml:space="preserve"> поселения «Галкинское»</w:t>
      </w:r>
    </w:p>
    <w:p>
      <w:pPr>
        <w:pStyle w:val="10"/>
        <w:wordWrap w:val="0"/>
        <w:contextualSpacing/>
        <w:jc w:val="right"/>
        <w:rPr>
          <w:rFonts w:hint="default" w:ascii="Times New Roman" w:hAnsi="Times New Roman" w:cs="Times New Roman"/>
          <w:bCs/>
          <w:lang w:val="ru-RU"/>
        </w:rPr>
      </w:pPr>
      <w:r>
        <w:rPr>
          <w:rFonts w:ascii="Times New Roman" w:hAnsi="Times New Roman" w:cs="Times New Roman"/>
          <w:bCs/>
        </w:rPr>
        <w:t>№</w:t>
      </w:r>
      <w:r>
        <w:rPr>
          <w:rFonts w:hint="default" w:ascii="Times New Roman" w:hAnsi="Times New Roman" w:cs="Times New Roman"/>
          <w:bCs/>
          <w:lang w:val="ru-RU"/>
        </w:rPr>
        <w:t xml:space="preserve">  __ </w:t>
      </w:r>
      <w:r>
        <w:rPr>
          <w:rFonts w:ascii="Times New Roman" w:hAnsi="Times New Roman" w:cs="Times New Roman"/>
          <w:bCs/>
        </w:rPr>
        <w:t xml:space="preserve">от </w:t>
      </w:r>
      <w:r>
        <w:rPr>
          <w:rFonts w:hint="default" w:ascii="Times New Roman" w:hAnsi="Times New Roman" w:cs="Times New Roman"/>
          <w:bCs/>
          <w:lang w:val="ru-RU"/>
        </w:rPr>
        <w:t>«     « декабря 2022 года</w:t>
      </w:r>
    </w:p>
    <w:p>
      <w:pPr>
        <w:pStyle w:val="10"/>
        <w:contextualSpacing/>
        <w:jc w:val="both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center"/>
        <w:rPr>
          <w:rFonts w:hint="default" w:ascii="PT Astra Serif" w:hAnsi="PT Astra Serif"/>
          <w:b/>
          <w:bCs/>
          <w:sz w:val="24"/>
          <w:szCs w:val="24"/>
          <w:lang w:val="ru-RU"/>
        </w:rPr>
      </w:pPr>
      <w:r>
        <w:rPr>
          <w:rFonts w:hint="default" w:ascii="PT Astra Serif" w:hAnsi="PT Astra Serif" w:cs="Times New Roman"/>
          <w:b/>
          <w:bCs/>
          <w:lang w:val="ru-RU"/>
        </w:rPr>
        <w:t>Об утверждении программы «П</w:t>
      </w:r>
      <w:r>
        <w:rPr>
          <w:rFonts w:ascii="PT Astra Serif" w:hAnsi="PT Astra Serif" w:cs="Times New Roman"/>
          <w:b/>
          <w:bCs/>
        </w:rPr>
        <w:t>рофилактик</w:t>
      </w:r>
      <w:r>
        <w:rPr>
          <w:rFonts w:ascii="PT Astra Serif" w:hAnsi="PT Astra Serif" w:cs="Times New Roman"/>
          <w:b/>
          <w:bCs/>
          <w:lang w:val="ru-RU"/>
        </w:rPr>
        <w:t>а</w:t>
      </w:r>
      <w:r>
        <w:rPr>
          <w:rFonts w:ascii="PT Astra Serif" w:hAnsi="PT Astra Serif" w:cs="Times New Roman"/>
          <w:b/>
          <w:bCs/>
        </w:rPr>
        <w:t xml:space="preserve"> рисков причинения вреда (ущерба) охраняемым законом ценностям</w:t>
      </w:r>
      <w:r>
        <w:rPr>
          <w:rFonts w:hint="default" w:ascii="PT Astra Serif" w:hAnsi="PT Astra Serif" w:cs="Times New Roman"/>
          <w:b/>
          <w:bCs/>
          <w:lang w:val="ru-RU"/>
        </w:rPr>
        <w:t xml:space="preserve"> </w:t>
      </w:r>
      <w:r>
        <w:rPr>
          <w:rFonts w:ascii="PT Astra Serif" w:hAnsi="PT Astra Serif" w:cs="Times New Roman"/>
          <w:b/>
          <w:bCs/>
        </w:rPr>
        <w:t>при осуществлении муниципального контроля в сфере благоустройства на 202</w:t>
      </w:r>
      <w:r>
        <w:rPr>
          <w:rFonts w:hint="default" w:ascii="PT Astra Serif" w:hAnsi="PT Astra Serif" w:cs="Times New Roman"/>
          <w:b/>
          <w:bCs/>
          <w:lang w:val="ru-RU"/>
        </w:rPr>
        <w:t>3</w:t>
      </w:r>
      <w:r>
        <w:rPr>
          <w:rFonts w:ascii="PT Astra Serif" w:hAnsi="PT Astra Serif" w:cs="Times New Roman"/>
          <w:b/>
          <w:bCs/>
        </w:rPr>
        <w:t xml:space="preserve"> го</w:t>
      </w:r>
      <w:r>
        <w:rPr>
          <w:rFonts w:ascii="PT Astra Serif" w:hAnsi="PT Astra Serif" w:cs="Times New Roman"/>
          <w:b/>
          <w:bCs/>
          <w:lang w:val="ru-RU"/>
        </w:rPr>
        <w:t>д</w:t>
      </w:r>
    </w:p>
    <w:p>
      <w:pPr>
        <w:spacing w:before="14"/>
        <w:jc w:val="center"/>
        <w:rPr>
          <w:rFonts w:ascii="PT Astra Serif" w:hAnsi="PT Astra Serif"/>
          <w:color w:val="000000"/>
          <w:sz w:val="24"/>
          <w:szCs w:val="24"/>
          <w:lang w:val="ru-RU"/>
        </w:rPr>
      </w:pPr>
    </w:p>
    <w:p>
      <w:pPr>
        <w:spacing w:before="14"/>
        <w:jc w:val="center"/>
        <w:rPr>
          <w:rFonts w:ascii="PT Astra Serif" w:hAnsi="PT Astra Serif"/>
          <w:b/>
          <w:bCs/>
          <w:color w:val="010302"/>
          <w:sz w:val="24"/>
          <w:szCs w:val="24"/>
          <w:lang w:val="ru-RU"/>
        </w:rPr>
      </w:pPr>
      <w:r>
        <w:rPr>
          <w:rFonts w:ascii="PT Astra Serif" w:hAnsi="PT Astra Serif"/>
          <w:b/>
          <w:bCs/>
          <w:color w:val="000000"/>
          <w:sz w:val="24"/>
          <w:szCs w:val="24"/>
          <w:lang w:val="ru-RU"/>
        </w:rPr>
        <w:t>Паспорт программы</w:t>
      </w:r>
    </w:p>
    <w:p>
      <w:pPr>
        <w:tabs>
          <w:tab w:val="left" w:pos="1535"/>
        </w:tabs>
        <w:rPr>
          <w:szCs w:val="24"/>
          <w:lang w:val="ru-RU"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2"/>
        <w:gridCol w:w="65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Наименование программы</w:t>
            </w:r>
          </w:p>
        </w:tc>
        <w:tc>
          <w:tcPr>
            <w:tcW w:w="6520" w:type="dxa"/>
          </w:tcPr>
          <w:p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(далее – программа профилактики)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Правовые основания разработки программы</w:t>
            </w:r>
          </w:p>
        </w:tc>
        <w:tc>
          <w:tcPr>
            <w:tcW w:w="6520" w:type="dxa"/>
          </w:tcPr>
          <w:p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Федеральный зако</w:t>
            </w:r>
            <w:r>
              <w:rPr>
                <w:rFonts w:ascii="PT Astra Serif" w:hAnsi="PT Astra Serif" w:eastAsiaTheme="minorHAnsi"/>
                <w:color w:val="000000"/>
                <w:spacing w:val="345"/>
                <w:sz w:val="24"/>
                <w:szCs w:val="24"/>
                <w:lang w:val="ru-RU"/>
              </w:rPr>
              <w:t>н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о</w:t>
            </w:r>
            <w:r>
              <w:rPr>
                <w:rFonts w:ascii="PT Astra Serif" w:hAnsi="PT Astra Serif" w:eastAsiaTheme="minorHAnsi"/>
                <w:color w:val="000000"/>
                <w:spacing w:val="345"/>
                <w:sz w:val="24"/>
                <w:szCs w:val="24"/>
                <w:lang w:val="ru-RU"/>
              </w:rPr>
              <w:t>т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31.07.202</w:t>
            </w:r>
            <w:r>
              <w:rPr>
                <w:rFonts w:ascii="PT Astra Serif" w:hAnsi="PT Astra Serif" w:eastAsiaTheme="minorHAnsi"/>
                <w:color w:val="000000"/>
                <w:spacing w:val="345"/>
                <w:sz w:val="24"/>
                <w:szCs w:val="24"/>
                <w:lang w:val="ru-RU"/>
              </w:rPr>
              <w:t>0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№248-ФЗ «О государственном контрол</w:t>
            </w:r>
            <w:r>
              <w:rPr>
                <w:rFonts w:ascii="PT Astra Serif" w:hAnsi="PT Astra Serif" w:eastAsiaTheme="minorHAnsi"/>
                <w:color w:val="000000"/>
                <w:spacing w:val="67"/>
                <w:sz w:val="24"/>
                <w:szCs w:val="24"/>
                <w:lang w:val="ru-RU"/>
              </w:rPr>
              <w:t>е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(надзоре</w:t>
            </w:r>
            <w:r>
              <w:rPr>
                <w:rFonts w:ascii="PT Astra Serif" w:hAnsi="PT Astra Serif" w:eastAsiaTheme="minorHAnsi"/>
                <w:color w:val="000000"/>
                <w:spacing w:val="67"/>
                <w:sz w:val="24"/>
                <w:szCs w:val="24"/>
                <w:lang w:val="ru-RU"/>
              </w:rPr>
              <w:t xml:space="preserve">) и 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муниципально</w:t>
            </w:r>
            <w:r>
              <w:rPr>
                <w:rFonts w:ascii="PT Astra Serif" w:hAnsi="PT Astra Serif" w:eastAsiaTheme="minorHAnsi"/>
                <w:color w:val="000000"/>
                <w:spacing w:val="67"/>
                <w:sz w:val="24"/>
                <w:szCs w:val="24"/>
                <w:lang w:val="ru-RU"/>
              </w:rPr>
              <w:t xml:space="preserve">м 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 xml:space="preserve">контроле </w:t>
            </w:r>
            <w:r>
              <w:rPr>
                <w:rFonts w:ascii="PT Astra Serif" w:hAnsi="PT Astra Serif" w:eastAsiaTheme="minorHAnsi"/>
                <w:color w:val="000000"/>
                <w:spacing w:val="60"/>
                <w:sz w:val="24"/>
                <w:szCs w:val="24"/>
                <w:lang w:val="ru-RU"/>
              </w:rPr>
              <w:t xml:space="preserve">в 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Российско</w:t>
            </w:r>
            <w:r>
              <w:rPr>
                <w:rFonts w:ascii="PT Astra Serif" w:hAnsi="PT Astra Serif" w:eastAsiaTheme="minorHAnsi"/>
                <w:color w:val="000000"/>
                <w:spacing w:val="60"/>
                <w:sz w:val="24"/>
                <w:szCs w:val="24"/>
                <w:lang w:val="ru-RU"/>
              </w:rPr>
              <w:t xml:space="preserve">й 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Федерации»,</w:t>
            </w:r>
            <w:r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  <w:lang w:val="ru-RU"/>
              </w:rPr>
              <w:t>Федеральный закон от 11.06.2021№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Разработчик программы</w:t>
            </w:r>
          </w:p>
        </w:tc>
        <w:tc>
          <w:tcPr>
            <w:tcW w:w="6520" w:type="dxa"/>
          </w:tcPr>
          <w:p>
            <w:pPr>
              <w:contextualSpacing/>
              <w:jc w:val="both"/>
              <w:rPr>
                <w:rFonts w:hint="default"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Администрация сельского поселения</w:t>
            </w:r>
            <w:r>
              <w:rPr>
                <w:rFonts w:hint="default" w:ascii="PT Astra Serif" w:hAnsi="PT Astra Serif"/>
                <w:sz w:val="24"/>
                <w:szCs w:val="24"/>
                <w:lang w:val="ru-RU"/>
              </w:rPr>
              <w:t xml:space="preserve"> «Галкинское»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Цель программы</w:t>
            </w:r>
          </w:p>
        </w:tc>
        <w:tc>
          <w:tcPr>
            <w:tcW w:w="6520" w:type="dxa"/>
          </w:tcPr>
          <w:p>
            <w:pPr>
              <w:tabs>
                <w:tab w:val="left" w:pos="1535"/>
              </w:tabs>
              <w:jc w:val="both"/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1. Устранение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 xml:space="preserve"> п</w:t>
            </w: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ричин, факторов и условий, способствующих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 xml:space="preserve"> п</w:t>
            </w: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ричинению или возможному причинению вреда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 xml:space="preserve"> (ущерба)</w:t>
            </w: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 xml:space="preserve">охраняемым 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з</w:t>
            </w: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аконом ценностям и нарушению обязательных требований, снижение рисков их возникновения.</w:t>
            </w:r>
          </w:p>
          <w:p>
            <w:pPr>
              <w:tabs>
                <w:tab w:val="left" w:pos="1535"/>
              </w:tabs>
              <w:jc w:val="both"/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2. Снижение административной нагрузки на подконтрольные субъекты.</w:t>
            </w:r>
          </w:p>
          <w:p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3. Повышение результативности и эффективности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 xml:space="preserve"> к</w:t>
            </w: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онтрольно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 xml:space="preserve">й </w:t>
            </w: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 xml:space="preserve">деятельности в сфере 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благоустройства.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Задачи программы</w:t>
            </w:r>
          </w:p>
        </w:tc>
        <w:tc>
          <w:tcPr>
            <w:tcW w:w="6520" w:type="dxa"/>
          </w:tcPr>
          <w:p>
            <w:pPr>
              <w:tabs>
                <w:tab w:val="left" w:pos="1535"/>
              </w:tabs>
              <w:jc w:val="both"/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 xml:space="preserve">1. Предотвращение рисков причинения вреда охраняемым законом ценностям. </w:t>
            </w:r>
          </w:p>
          <w:p>
            <w:pPr>
              <w:tabs>
                <w:tab w:val="left" w:pos="1535"/>
              </w:tabs>
              <w:jc w:val="both"/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 xml:space="preserve">2. Проведение профилактических мероприятий, направленных на предотвращение причинения вреда охраняемым законом ценностям. </w:t>
            </w:r>
          </w:p>
          <w:p>
            <w:pPr>
              <w:tabs>
                <w:tab w:val="left" w:pos="1535"/>
              </w:tabs>
              <w:jc w:val="both"/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 xml:space="preserve">3. Информирование, консультирование контролируемых лиц с использованием информационно-телекоммуникационных технологий. </w:t>
            </w:r>
          </w:p>
          <w:p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4. Обеспечение доступности информации об обязательных требованиях и необходимых мерах по их исполнению.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Срок реализации программы профилактики</w:t>
            </w:r>
          </w:p>
        </w:tc>
        <w:tc>
          <w:tcPr>
            <w:tcW w:w="6520" w:type="dxa"/>
          </w:tcPr>
          <w:p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202</w:t>
            </w:r>
            <w:r>
              <w:rPr>
                <w:rFonts w:hint="default" w:ascii="PT Astra Serif" w:hAnsi="PT Astra Serif"/>
                <w:sz w:val="24"/>
                <w:szCs w:val="24"/>
                <w:lang w:val="ru-RU"/>
              </w:rPr>
              <w:t>3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 год</w:t>
            </w:r>
          </w:p>
        </w:tc>
      </w:tr>
    </w:tbl>
    <w:p>
      <w:pPr>
        <w:tabs>
          <w:tab w:val="left" w:pos="1535"/>
        </w:tabs>
        <w:rPr>
          <w:szCs w:val="24"/>
          <w:lang w:val="ru-RU"/>
        </w:rPr>
      </w:pPr>
    </w:p>
    <w:p>
      <w:pPr>
        <w:tabs>
          <w:tab w:val="left" w:pos="1535"/>
        </w:tabs>
        <w:rPr>
          <w:szCs w:val="24"/>
          <w:lang w:val="ru-RU"/>
        </w:rPr>
      </w:pPr>
    </w:p>
    <w:tbl>
      <w:tblPr>
        <w:tblStyle w:val="9"/>
        <w:tblW w:w="96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70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>
            <w:pPr>
              <w:tabs>
                <w:tab w:val="left" w:pos="1535"/>
              </w:tabs>
              <w:ind w:right="-229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Ожидаемые результаты реализации программы</w:t>
            </w:r>
          </w:p>
        </w:tc>
        <w:tc>
          <w:tcPr>
            <w:tcW w:w="7032" w:type="dxa"/>
          </w:tcPr>
          <w:p>
            <w:pPr>
              <w:tabs>
                <w:tab w:val="left" w:pos="1535"/>
              </w:tabs>
              <w:jc w:val="both"/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1. М</w:t>
            </w:r>
            <w:r>
              <w:rPr>
                <w:rFonts w:ascii="PT Astra Serif" w:hAnsi="PT Astra Serif"/>
                <w:bCs/>
                <w:iCs/>
                <w:sz w:val="24"/>
                <w:szCs w:val="24"/>
                <w:lang w:val="ru-RU"/>
              </w:rPr>
              <w:t>инимизирование количества нарушений субъектами профилактики обязательных требований, установленных Правилами благоустройства;</w:t>
            </w:r>
          </w:p>
          <w:p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2. 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Повышение правосознания и правовой культуры контролируемых лиц.</w:t>
            </w:r>
          </w:p>
        </w:tc>
      </w:tr>
    </w:tbl>
    <w:p>
      <w:pPr>
        <w:pStyle w:val="14"/>
        <w:spacing w:before="220"/>
        <w:ind w:firstLine="539"/>
        <w:contextualSpacing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1. Анализ текущего состояния осуществления муниципального</w:t>
      </w:r>
    </w:p>
    <w:p>
      <w:pPr>
        <w:pStyle w:val="14"/>
        <w:spacing w:before="220"/>
        <w:ind w:firstLine="539"/>
        <w:contextualSpacing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контроля в сфере благоустройства</w:t>
      </w:r>
    </w:p>
    <w:p>
      <w:pPr>
        <w:pStyle w:val="14"/>
        <w:spacing w:before="220"/>
        <w:ind w:firstLine="539"/>
        <w:contextualSpacing/>
        <w:jc w:val="center"/>
        <w:rPr>
          <w:rFonts w:ascii="PT Astra Serif" w:hAnsi="PT Astra Serif"/>
          <w:b/>
          <w:sz w:val="24"/>
          <w:szCs w:val="24"/>
        </w:rPr>
      </w:pPr>
    </w:p>
    <w:p>
      <w:pPr>
        <w:numPr>
          <w:ilvl w:val="1"/>
          <w:numId w:val="1"/>
        </w:numPr>
        <w:ind w:firstLine="709"/>
        <w:contextualSpacing/>
        <w:jc w:val="both"/>
        <w:rPr>
          <w:rFonts w:hint="default"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Муниципальный</w:t>
      </w:r>
      <w:r>
        <w:rPr>
          <w:rFonts w:hint="default"/>
          <w:sz w:val="24"/>
          <w:szCs w:val="24"/>
          <w:lang w:val="ru-RU"/>
        </w:rPr>
        <w:t xml:space="preserve"> контроль в сфере благоустройства на территории сельского поселения осуществляется в соответствии с Федеральным законом от 31.07.2020г. № 248-ФЗ «О государственном контроле (надзоре) и муниципальном контроле в Российской Федерации, Федеральным законом от 11.06.2021г.№ 170-ФЗ «О внесении изменений в отдельные законодательные акты Российской Федерации всвяз с принятием Федерального закона «О государственном контроле (надзоре) и муниципальном контроле в Российской Федерации, Федеральным законом от 06.10.2003 года № 131-ФЗ «Об общих принципах организации местного самоуправления в Российской Федерации», Уставом сельскогопоселения «Галкинское».</w:t>
      </w:r>
    </w:p>
    <w:p>
      <w:pPr>
        <w:numPr>
          <w:ilvl w:val="0"/>
          <w:numId w:val="0"/>
        </w:numPr>
        <w:contextualSpacing/>
        <w:jc w:val="both"/>
        <w:rPr>
          <w:sz w:val="24"/>
          <w:szCs w:val="24"/>
          <w:lang w:val="ru-RU"/>
        </w:rPr>
      </w:pPr>
      <w:r>
        <w:rPr>
          <w:rFonts w:hint="default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В зависимости от объекта, в отношении которого осуществляется муниципальный контроль в сфере благоустройства, выделяются следующие типы контролируемых лиц: </w:t>
      </w:r>
    </w:p>
    <w:p>
      <w:pPr>
        <w:ind w:firstLine="709"/>
        <w:contextualSpacing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юридические лица, индивидуальные предприниматели и граждане, обеспечивающие благоустройство объектов, </w:t>
      </w:r>
      <w:r>
        <w:rPr>
          <w:rFonts w:ascii="PT Astra Serif" w:hAnsi="PT Astra Serif" w:cs="PT Astra Serif"/>
          <w:sz w:val="24"/>
          <w:szCs w:val="24"/>
          <w:lang w:val="ru-RU"/>
        </w:rPr>
        <w:t xml:space="preserve">к которым предъявляются обязательные требования, </w:t>
      </w:r>
      <w:r>
        <w:rPr>
          <w:rFonts w:ascii="PT Astra Serif" w:hAnsi="PT Astra Serif"/>
          <w:sz w:val="24"/>
          <w:szCs w:val="24"/>
          <w:lang w:val="ru-RU"/>
        </w:rPr>
        <w:t xml:space="preserve">установленные Правилами благоустройства на территории сельского поселения </w:t>
      </w:r>
      <w:r>
        <w:rPr>
          <w:rFonts w:hint="default" w:ascii="PT Astra Serif" w:hAnsi="PT Astra Serif"/>
          <w:sz w:val="24"/>
          <w:szCs w:val="24"/>
          <w:lang w:val="ru-RU"/>
        </w:rPr>
        <w:t>«Галкинское»</w:t>
      </w:r>
      <w:r>
        <w:rPr>
          <w:rFonts w:ascii="PT Astra Serif" w:hAnsi="PT Astra Serif"/>
          <w:sz w:val="24"/>
          <w:szCs w:val="24"/>
          <w:lang w:val="ru-RU"/>
        </w:rPr>
        <w:t>.</w:t>
      </w:r>
    </w:p>
    <w:p>
      <w:pPr>
        <w:pStyle w:val="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/>
        </w:rPr>
        <w:t xml:space="preserve">1.2. </w:t>
      </w:r>
      <w:r>
        <w:rPr>
          <w:rFonts w:ascii="PT Astra Serif" w:hAnsi="PT Astra Serif" w:cs="Arial"/>
        </w:rPr>
        <w:t>За текущий период 202</w:t>
      </w:r>
      <w:r>
        <w:rPr>
          <w:rFonts w:hint="default" w:ascii="PT Astra Serif" w:hAnsi="PT Astra Serif" w:cs="Arial"/>
          <w:lang w:val="ru-RU"/>
        </w:rPr>
        <w:t>2</w:t>
      </w:r>
      <w:r>
        <w:rPr>
          <w:rFonts w:ascii="PT Astra Serif" w:hAnsi="PT Astra Serif" w:cs="Arial"/>
        </w:rPr>
        <w:t xml:space="preserve"> года</w:t>
      </w:r>
      <w:r>
        <w:rPr>
          <w:rFonts w:ascii="PT Astra Serif" w:hAnsi="PT Astra Serif"/>
        </w:rPr>
        <w:t xml:space="preserve"> в рамках </w:t>
      </w:r>
      <w:r>
        <w:rPr>
          <w:rFonts w:ascii="PT Astra Serif" w:hAnsi="PT Astra Serif" w:cs="Arial"/>
        </w:rPr>
        <w:t>муниципального контроля за соблюдением Правил благоустройства на территории</w:t>
      </w:r>
      <w:r>
        <w:rPr>
          <w:rFonts w:hint="default" w:ascii="PT Astra Serif" w:hAnsi="PT Astra Serif" w:cs="Arial"/>
          <w:lang w:val="ru-RU"/>
        </w:rPr>
        <w:t xml:space="preserve"> сельского поселения «Галкинское» </w:t>
      </w:r>
      <w:r>
        <w:rPr>
          <w:rFonts w:ascii="PT Astra Serif" w:hAnsi="PT Astra Serif" w:cs="Arial"/>
        </w:rPr>
        <w:t>плановые и внеплановые проверки, мероприятия по контролю без взаимодействия с субъектами контроля на территории</w:t>
      </w:r>
      <w:r>
        <w:rPr>
          <w:rFonts w:hint="default" w:ascii="PT Astra Serif" w:hAnsi="PT Astra Serif" w:cs="Arial"/>
          <w:lang w:val="ru-RU"/>
        </w:rPr>
        <w:t xml:space="preserve"> сельского поселения «Галкинское»</w:t>
      </w:r>
      <w:r>
        <w:rPr>
          <w:rFonts w:ascii="PT Astra Serif" w:hAnsi="PT Astra Serif" w:cs="Arial"/>
        </w:rPr>
        <w:t xml:space="preserve"> не производились.</w:t>
      </w:r>
    </w:p>
    <w:p>
      <w:pPr>
        <w:pStyle w:val="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Эксперты и представители экспертных организаций к проведению проверок не привлекались.</w:t>
      </w:r>
    </w:p>
    <w:p>
      <w:pPr>
        <w:pStyle w:val="8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Предостережения о недопустимости нарушений обязательных требований при осуществлении муниципального контроля подконтрольным субъектам не выдавались.</w:t>
      </w:r>
    </w:p>
    <w:p>
      <w:pPr>
        <w:pStyle w:val="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Случаи причинения субъектами контроля вреда охраняемым законом ценностям, а также случаи возникновения чрезвычайных ситуаций природного и техногенного характера не установлены.</w:t>
      </w:r>
    </w:p>
    <w:p>
      <w:pPr>
        <w:pStyle w:val="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/>
        </w:rPr>
        <w:t xml:space="preserve">1.3. </w:t>
      </w:r>
      <w:r>
        <w:rPr>
          <w:rFonts w:ascii="PT Astra Serif" w:hAnsi="PT Astra Serif" w:cs="Arial"/>
        </w:rPr>
        <w:t xml:space="preserve">В целях профилактики нарушений обязательных требований, соблюдение которых проверяется в ходе осуществления муниципального контроля, </w:t>
      </w:r>
      <w:r>
        <w:rPr>
          <w:rFonts w:ascii="PT Astra Serif" w:hAnsi="PT Astra Serif" w:cs="PT Astra Serif"/>
        </w:rPr>
        <w:t>администрацией сельского поселения</w:t>
      </w:r>
      <w:r>
        <w:rPr>
          <w:rFonts w:ascii="PT Astra Serif" w:hAnsi="PT Astra Serif" w:cs="Arial"/>
        </w:rPr>
        <w:t xml:space="preserve"> в 202</w:t>
      </w:r>
      <w:r>
        <w:rPr>
          <w:rFonts w:hint="default" w:ascii="PT Astra Serif" w:hAnsi="PT Astra Serif" w:cs="Arial"/>
          <w:lang w:val="ru-RU"/>
        </w:rPr>
        <w:t>2</w:t>
      </w:r>
      <w:r>
        <w:rPr>
          <w:rFonts w:ascii="PT Astra Serif" w:hAnsi="PT Astra Serif" w:cs="Arial"/>
        </w:rPr>
        <w:t xml:space="preserve"> году проведена следующая работа:</w:t>
      </w:r>
    </w:p>
    <w:p>
      <w:pPr>
        <w:pStyle w:val="8"/>
        <w:shd w:val="clear" w:color="auto" w:fill="FFFFFF"/>
        <w:spacing w:before="0" w:beforeAutospacing="0" w:after="0" w:afterAutospacing="0"/>
        <w:ind w:firstLine="709"/>
        <w:jc w:val="both"/>
        <w:rPr>
          <w:rFonts w:hint="default" w:ascii="PT Astra Serif" w:hAnsi="PT Astra Serif" w:cs="Arial"/>
          <w:lang w:val="ru-RU"/>
        </w:rPr>
      </w:pPr>
      <w:r>
        <w:rPr>
          <w:rFonts w:ascii="PT Astra Serif" w:hAnsi="PT Astra Serif" w:cs="Arial"/>
        </w:rPr>
        <w:t>- осуществлено информирование подконтрольных субъектов о необходимости соблюдения обязательных требований</w:t>
      </w:r>
      <w:r>
        <w:rPr>
          <w:rFonts w:hint="default" w:ascii="PT Astra Serif" w:hAnsi="PT Astra Serif" w:cs="Arial"/>
          <w:lang w:val="ru-RU"/>
        </w:rPr>
        <w:t>;</w:t>
      </w:r>
    </w:p>
    <w:p>
      <w:pPr>
        <w:pStyle w:val="8"/>
        <w:shd w:val="clear" w:color="auto" w:fill="FFFFFF"/>
        <w:spacing w:before="0" w:beforeAutospacing="0" w:after="0" w:afterAutospacing="0"/>
        <w:ind w:firstLine="709"/>
        <w:jc w:val="both"/>
        <w:rPr>
          <w:rFonts w:hint="default" w:ascii="PT Astra Serif" w:hAnsi="PT Astra Serif" w:cs="Arial"/>
          <w:lang w:val="ru-RU"/>
        </w:rPr>
      </w:pPr>
      <w:r>
        <w:rPr>
          <w:rFonts w:hint="default" w:ascii="PT Astra Serif" w:hAnsi="PT Astra Serif" w:cs="Arial"/>
          <w:lang w:val="ru-RU"/>
        </w:rPr>
        <w:t>- отсутствие информирования подконтрольных субъектов о требованиях с сфере благоустройства;</w:t>
      </w:r>
    </w:p>
    <w:p>
      <w:pPr>
        <w:pStyle w:val="8"/>
        <w:shd w:val="clear" w:color="auto" w:fill="FFFFFF"/>
        <w:spacing w:before="0" w:beforeAutospacing="0" w:after="0" w:afterAutospacing="0"/>
        <w:ind w:firstLine="709"/>
        <w:jc w:val="both"/>
        <w:rPr>
          <w:rFonts w:hint="default" w:ascii="PT Astra Serif" w:hAnsi="PT Astra Serif" w:cs="Arial"/>
          <w:lang w:val="ru-RU"/>
        </w:rPr>
      </w:pPr>
      <w:r>
        <w:rPr>
          <w:rFonts w:hint="default" w:ascii="PT Astra Serif" w:hAnsi="PT Astra Serif" w:cs="Arial"/>
          <w:lang w:val="ru-RU"/>
        </w:rPr>
        <w:t>- отсутствие системы обратной связи с подконтрольными субъектами по вопросам применения требований благоустройства, в том числе с использованием современных информационно-телекоммуникационных технологий.</w:t>
      </w:r>
    </w:p>
    <w:p>
      <w:pPr>
        <w:pStyle w:val="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В процессе осуществления муниципального контроля ведется информативно-разъяснительная работа с подконтрольными субъектами (оказывается консультативная помощь, даются разъяснения по вопросам соблюдения обязательных требований в устной форме).</w:t>
      </w:r>
    </w:p>
    <w:p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</w:p>
    <w:p>
      <w:pPr>
        <w:pStyle w:val="14"/>
        <w:ind w:firstLine="540"/>
        <w:contextualSpacing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2. Характеристика проблем, на решение которых направлена</w:t>
      </w:r>
    </w:p>
    <w:p>
      <w:pPr>
        <w:pStyle w:val="14"/>
        <w:ind w:firstLine="540"/>
        <w:contextualSpacing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программа профилактики</w:t>
      </w:r>
    </w:p>
    <w:p>
      <w:pPr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</w:p>
    <w:p>
      <w:pPr>
        <w:widowControl/>
        <w:shd w:val="clear" w:color="auto" w:fill="FFFFFF"/>
        <w:spacing w:before="100" w:beforeAutospacing="1" w:after="100" w:afterAutospacing="1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ab/>
      </w:r>
      <w:r>
        <w:rPr>
          <w:rFonts w:ascii="PT Astra Serif" w:hAnsi="PT Astra Serif"/>
          <w:sz w:val="24"/>
          <w:szCs w:val="24"/>
          <w:lang w:val="ru-RU"/>
        </w:rPr>
        <w:t>2.1. К основным проблемам в сфере благоустройства, на решение которых направлена Программа профилактики относится: приведение объектов благоустройства в соответствии с технико-эксплуатационными характеристиками улучшение архитектурно-планировочного облика поселения, улучшение экологической обстановки и санитарно-гигиенических условий жизни в городе, создание безопасных и комфортных условий для проживания населения.</w:t>
      </w:r>
    </w:p>
    <w:p>
      <w:pPr>
        <w:contextualSpacing/>
        <w:jc w:val="both"/>
        <w:rPr>
          <w:rFonts w:ascii="PT Astra Serif" w:hAnsi="PT Astra Serif"/>
          <w:b/>
          <w:sz w:val="24"/>
          <w:szCs w:val="24"/>
          <w:lang w:val="ru-RU"/>
        </w:rPr>
      </w:pPr>
    </w:p>
    <w:p>
      <w:pPr>
        <w:contextualSpacing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3. Цели и задачи реализации программы профилактики</w:t>
      </w:r>
    </w:p>
    <w:p>
      <w:pPr>
        <w:contextualSpacing/>
        <w:jc w:val="center"/>
        <w:rPr>
          <w:b/>
          <w:sz w:val="24"/>
          <w:szCs w:val="24"/>
          <w:lang w:val="ru-RU"/>
        </w:rPr>
      </w:pPr>
    </w:p>
    <w:p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3.1. Профилактика рисков причинения вреда (ущерба) охраняемым законом ценностям направлена на достижение следующих основных целей:</w:t>
      </w:r>
    </w:p>
    <w:p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1)</w:t>
      </w:r>
      <w:r>
        <w:rPr>
          <w:rFonts w:ascii="PT Astra Serif" w:hAnsi="PT Astra Serif"/>
          <w:sz w:val="24"/>
          <w:szCs w:val="24"/>
        </w:rPr>
        <w:t> </w:t>
      </w:r>
      <w:r>
        <w:rPr>
          <w:rFonts w:ascii="PT Astra Serif" w:hAnsi="PT Astra Serif"/>
          <w:sz w:val="24"/>
          <w:szCs w:val="24"/>
          <w:lang w:val="ru-RU"/>
        </w:rPr>
        <w:t>стимулирование добросовестного соблюдения обязательных требований всеми контролируемыми лицами;</w:t>
      </w:r>
    </w:p>
    <w:p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2)</w:t>
      </w:r>
      <w:r>
        <w:rPr>
          <w:rFonts w:ascii="PT Astra Serif" w:hAnsi="PT Astra Serif"/>
          <w:sz w:val="24"/>
          <w:szCs w:val="24"/>
        </w:rPr>
        <w:t> </w:t>
      </w:r>
      <w:r>
        <w:rPr>
          <w:rFonts w:ascii="PT Astra Serif" w:hAnsi="PT Astra Serif"/>
          <w:sz w:val="24"/>
          <w:szCs w:val="24"/>
          <w:lang w:val="ru-RU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>
      <w:pPr>
        <w:ind w:firstLine="709"/>
        <w:contextualSpacing/>
        <w:jc w:val="both"/>
        <w:rPr>
          <w:rFonts w:hint="default"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3)</w:t>
      </w:r>
      <w:r>
        <w:rPr>
          <w:rFonts w:ascii="PT Astra Serif" w:hAnsi="PT Astra Serif"/>
          <w:sz w:val="24"/>
          <w:szCs w:val="24"/>
        </w:rPr>
        <w:t> </w:t>
      </w:r>
      <w:r>
        <w:rPr>
          <w:rFonts w:ascii="PT Astra Serif" w:hAnsi="PT Astra Serif"/>
          <w:sz w:val="24"/>
          <w:szCs w:val="24"/>
          <w:lang w:val="ru-RU"/>
        </w:rPr>
        <w:t>создание условий для доведения обязательных требований до контролируемых лиц, повышение информированности о способах их соблюдения</w:t>
      </w:r>
      <w:r>
        <w:rPr>
          <w:rFonts w:hint="default" w:ascii="PT Astra Serif" w:hAnsi="PT Astra Serif"/>
          <w:sz w:val="24"/>
          <w:szCs w:val="24"/>
          <w:lang w:val="ru-RU"/>
        </w:rPr>
        <w:t>;</w:t>
      </w:r>
    </w:p>
    <w:p>
      <w:pPr>
        <w:ind w:firstLine="709"/>
        <w:contextualSpacing/>
        <w:jc w:val="both"/>
        <w:rPr>
          <w:rFonts w:hint="default" w:ascii="PT Astra Serif" w:hAnsi="PT Astra Serif"/>
          <w:sz w:val="24"/>
          <w:szCs w:val="24"/>
          <w:lang w:val="ru-RU"/>
        </w:rPr>
      </w:pPr>
      <w:r>
        <w:rPr>
          <w:rFonts w:hint="default" w:ascii="PT Astra Serif" w:hAnsi="PT Astra Serif"/>
          <w:sz w:val="24"/>
          <w:szCs w:val="24"/>
          <w:lang w:val="ru-RU"/>
        </w:rPr>
        <w:t>4) предотвращение угрозы безопасности жизни и здоровья людей.</w:t>
      </w:r>
    </w:p>
    <w:p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3.2. Задачами Программы являются: </w:t>
      </w:r>
    </w:p>
    <w:p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- укрепление системы профилактики нарушений обязательных требований; </w:t>
      </w:r>
    </w:p>
    <w:p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- 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</w:r>
    </w:p>
    <w:p>
      <w:pPr>
        <w:autoSpaceDE w:val="0"/>
        <w:autoSpaceDN w:val="0"/>
        <w:adjustRightInd w:val="0"/>
        <w:ind w:firstLine="708"/>
        <w:jc w:val="both"/>
        <w:rPr>
          <w:rFonts w:hint="default"/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- формирование одинакового понимания обязательных требований у всех участников контрольной деятельности</w:t>
      </w:r>
      <w:r>
        <w:rPr>
          <w:rFonts w:hint="default"/>
          <w:color w:val="000000"/>
          <w:sz w:val="24"/>
          <w:szCs w:val="24"/>
          <w:lang w:val="ru-RU"/>
        </w:rPr>
        <w:t>;</w:t>
      </w:r>
    </w:p>
    <w:p>
      <w:pPr>
        <w:autoSpaceDE w:val="0"/>
        <w:autoSpaceDN w:val="0"/>
        <w:adjustRightInd w:val="0"/>
        <w:ind w:firstLine="708"/>
        <w:jc w:val="both"/>
        <w:rPr>
          <w:rFonts w:hint="default"/>
          <w:color w:val="000000"/>
          <w:sz w:val="24"/>
          <w:szCs w:val="24"/>
          <w:lang w:val="ru-RU"/>
        </w:rPr>
      </w:pPr>
      <w:r>
        <w:rPr>
          <w:rFonts w:hint="default"/>
          <w:color w:val="000000"/>
          <w:sz w:val="24"/>
          <w:szCs w:val="24"/>
          <w:lang w:val="ru-RU"/>
        </w:rPr>
        <w:t>- повышение правосознания и правовой культуры юридических лиц, индивидуальных предпринимателей и граждан.</w:t>
      </w:r>
    </w:p>
    <w:p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</w:p>
    <w:p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 xml:space="preserve">4. Перечень профилактических мероприятий, </w:t>
      </w:r>
    </w:p>
    <w:p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>сроки (периодичность) их проведения</w:t>
      </w:r>
    </w:p>
    <w:p>
      <w:pPr>
        <w:tabs>
          <w:tab w:val="left" w:pos="709"/>
        </w:tabs>
        <w:contextualSpacing/>
        <w:jc w:val="right"/>
        <w:rPr>
          <w:rFonts w:ascii="PT Astra Serif" w:hAnsi="PT Astra Serif"/>
          <w:sz w:val="16"/>
          <w:szCs w:val="16"/>
          <w:lang w:val="ru-RU"/>
        </w:rPr>
      </w:pPr>
    </w:p>
    <w:p>
      <w:pPr>
        <w:tabs>
          <w:tab w:val="left" w:pos="709"/>
        </w:tabs>
        <w:contextualSpacing/>
        <w:jc w:val="right"/>
        <w:rPr>
          <w:rFonts w:ascii="PT Astra Serif" w:hAnsi="PT Astra Serif"/>
          <w:sz w:val="24"/>
          <w:szCs w:val="24"/>
          <w:lang w:val="ru-RU"/>
        </w:rPr>
      </w:pPr>
      <w:r>
        <w:rPr>
          <w:rFonts w:hint="default" w:ascii="PT Astra Serif" w:hAnsi="PT Astra Serif"/>
          <w:sz w:val="24"/>
          <w:szCs w:val="24"/>
          <w:lang w:val="ru-RU"/>
        </w:rPr>
        <w:t xml:space="preserve"> </w:t>
      </w:r>
      <w:r>
        <w:rPr>
          <w:rFonts w:ascii="PT Astra Serif" w:hAnsi="PT Astra Serif"/>
          <w:sz w:val="24"/>
          <w:szCs w:val="24"/>
          <w:lang w:val="ru-RU"/>
        </w:rPr>
        <w:t xml:space="preserve"> </w:t>
      </w:r>
    </w:p>
    <w:tbl>
      <w:tblPr>
        <w:tblStyle w:val="9"/>
        <w:tblpPr w:leftFromText="180" w:rightFromText="180" w:vertAnchor="text" w:horzAnchor="margin" w:tblpXSpec="center" w:tblpY="191"/>
        <w:tblW w:w="103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4820"/>
        <w:gridCol w:w="2268"/>
        <w:gridCol w:w="25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№ п/п </w:t>
            </w:r>
          </w:p>
        </w:tc>
        <w:tc>
          <w:tcPr>
            <w:tcW w:w="4820" w:type="dxa"/>
          </w:tcPr>
          <w:p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Наименование формы мероприятия</w:t>
            </w:r>
          </w:p>
        </w:tc>
        <w:tc>
          <w:tcPr>
            <w:tcW w:w="2268" w:type="dxa"/>
          </w:tcPr>
          <w:p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Срок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 (</w:t>
            </w: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периодичность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) </w:t>
            </w: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проведения</w:t>
            </w:r>
            <w:r>
              <w:rPr>
                <w:rFonts w:hint="default" w:ascii="PT Astra Serif" w:hAnsi="PT Astra Serif" w:cs="PT Astra Serif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2551" w:type="dxa"/>
          </w:tcPr>
          <w:p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Ответственный исполнитель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14" w:type="dxa"/>
            <w:gridSpan w:val="4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1. Информирование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1.1.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</w:tc>
        <w:tc>
          <w:tcPr>
            <w:tcW w:w="4820" w:type="dxa"/>
          </w:tcPr>
          <w:p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Актуализация и размещение в сети «Интернет» на официальном сайте </w:t>
            </w:r>
            <w:r>
              <w:rPr>
                <w:rFonts w:hint="default" w:ascii="PT Astra Serif" w:hAnsi="PT Astra Serif"/>
                <w:sz w:val="24"/>
                <w:szCs w:val="24"/>
                <w:lang w:val="ru-RU"/>
              </w:rPr>
              <w:t>«галкинское.рф»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:</w:t>
            </w:r>
          </w:p>
          <w:p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а) перечня нормативных правовых актов, содержащих обязательные требования, оценка соблюдения которых осуществляется в рамках муниципального контроля в сфере благоустройства</w:t>
            </w:r>
          </w:p>
          <w:p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б) материалов, информационных писем, руководств по соблюдению обязательных требований</w:t>
            </w:r>
          </w:p>
          <w:p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в) перечня индикаторов риска нарушения обязательных требований</w:t>
            </w:r>
          </w:p>
          <w:p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>
            <w:pPr>
              <w:tabs>
                <w:tab w:val="left" w:pos="176"/>
              </w:tabs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г) программы профилактики рисков причинения вреда (ущерба) охраняемым законом ценностям</w:t>
            </w:r>
          </w:p>
          <w:p>
            <w:pPr>
              <w:tabs>
                <w:tab w:val="left" w:pos="176"/>
              </w:tabs>
              <w:contextualSpacing/>
              <w:jc w:val="both"/>
              <w:rPr>
                <w:rFonts w:hint="default"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Информирование</w:t>
            </w:r>
            <w:r>
              <w:rPr>
                <w:rFonts w:hint="default" w:ascii="PT Astra Serif" w:hAnsi="PT Astra Serif"/>
                <w:sz w:val="24"/>
                <w:szCs w:val="24"/>
                <w:lang w:val="ru-RU"/>
              </w:rPr>
              <w:t xml:space="preserve">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>
            <w:pPr>
              <w:tabs>
                <w:tab w:val="left" w:pos="176"/>
              </w:tabs>
              <w:contextualSpacing/>
              <w:jc w:val="both"/>
              <w:rPr>
                <w:rFonts w:hint="default" w:ascii="PT Astra Serif" w:hAnsi="PT Astra Serif"/>
                <w:sz w:val="24"/>
                <w:szCs w:val="24"/>
                <w:lang w:val="ru-RU"/>
              </w:rPr>
            </w:pPr>
            <w:r>
              <w:rPr>
                <w:rFonts w:hint="default" w:ascii="PT Astra Serif" w:hAnsi="PT Astra Serif"/>
                <w:sz w:val="24"/>
                <w:szCs w:val="24"/>
                <w:lang w:val="ru-RU"/>
              </w:rPr>
              <w:t>В случае изменения обязательных требований-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требований.</w:t>
            </w:r>
          </w:p>
        </w:tc>
        <w:tc>
          <w:tcPr>
            <w:tcW w:w="2268" w:type="dxa"/>
          </w:tcPr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Не позднее 5 рабочих дней с момента изменения действующего законодательства</w:t>
            </w: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Не реже 2 раз в год</w:t>
            </w: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Не позднее 10 рабочих дней последних утверждения</w:t>
            </w: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Не позднее 25 декабря предшествующего года</w:t>
            </w: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hint="default"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В</w:t>
            </w:r>
            <w:r>
              <w:rPr>
                <w:rFonts w:hint="default"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течение года по мере необходимости</w:t>
            </w:r>
          </w:p>
        </w:tc>
        <w:tc>
          <w:tcPr>
            <w:tcW w:w="2551" w:type="dxa"/>
          </w:tcPr>
          <w:p>
            <w:pPr>
              <w:contextualSpacing/>
              <w:rPr>
                <w:rFonts w:hint="default"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Администрация сельского</w:t>
            </w:r>
            <w:r>
              <w:rPr>
                <w:rFonts w:hint="default" w:ascii="PT Astra Serif" w:hAnsi="PT Astra Serif"/>
                <w:sz w:val="24"/>
                <w:szCs w:val="24"/>
                <w:lang w:val="ru-RU"/>
              </w:rPr>
              <w:t xml:space="preserve"> поселения «Галкинское»</w:t>
            </w: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hint="default" w:ascii="PT Astra Serif" w:hAnsi="PT Astra Serif" w:cs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Должностное</w:t>
            </w:r>
            <w:r>
              <w:rPr>
                <w:rFonts w:hint="default" w:ascii="PT Astra Serif" w:hAnsi="PT Astra Serif" w:cs="PT Astra Serif"/>
                <w:sz w:val="24"/>
                <w:szCs w:val="24"/>
                <w:lang w:val="ru-RU"/>
              </w:rPr>
              <w:t xml:space="preserve"> лицо, уполномоченное на осуществление муниципального контроля</w:t>
            </w:r>
            <w:bookmarkStart w:id="0" w:name="_GoBack"/>
            <w:bookmarkEnd w:id="0"/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14" w:type="dxa"/>
            <w:gridSpan w:val="4"/>
          </w:tcPr>
          <w:p>
            <w:pPr>
              <w:contextualSpacing/>
              <w:jc w:val="center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2. Консультирование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9" w:hRule="atLeast"/>
        </w:trPr>
        <w:tc>
          <w:tcPr>
            <w:tcW w:w="675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2.1.</w:t>
            </w:r>
          </w:p>
        </w:tc>
        <w:tc>
          <w:tcPr>
            <w:tcW w:w="4820" w:type="dxa"/>
          </w:tcPr>
          <w:p>
            <w:pPr>
              <w:pStyle w:val="14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>К</w:t>
            </w:r>
            <w:r>
              <w:rPr>
                <w:rFonts w:ascii="PT Astra Serif" w:hAnsi="PT Astra Serif"/>
                <w:sz w:val="24"/>
                <w:szCs w:val="24"/>
              </w:rPr>
              <w:t>онсультирование контролируемых лиц и их представителей по вопросам, связанным с организацией и осуществлением муниципального контроля в сфере благоустройства:</w:t>
            </w:r>
          </w:p>
          <w:p>
            <w:pPr>
              <w:pStyle w:val="14"/>
              <w:tabs>
                <w:tab w:val="left" w:pos="1134"/>
              </w:tabs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1) порядок проведения контрольных мероприятий;</w:t>
            </w:r>
          </w:p>
          <w:p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2) порядок осуществления профилактических мероприятий;</w:t>
            </w:r>
          </w:p>
          <w:p>
            <w:pPr>
              <w:pStyle w:val="14"/>
              <w:tabs>
                <w:tab w:val="left" w:pos="1134"/>
              </w:tabs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3) порядок принятия решений по итогам контрольных мероприятий;</w:t>
            </w:r>
          </w:p>
          <w:p>
            <w:pPr>
              <w:pStyle w:val="14"/>
              <w:tabs>
                <w:tab w:val="left" w:pos="1134"/>
              </w:tabs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4) порядок обжалования решений Контрольного органа.</w:t>
            </w:r>
          </w:p>
        </w:tc>
        <w:tc>
          <w:tcPr>
            <w:tcW w:w="2268" w:type="dxa"/>
          </w:tcPr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По запросу</w:t>
            </w: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В форме устных и письменных разъяснений</w:t>
            </w:r>
          </w:p>
        </w:tc>
        <w:tc>
          <w:tcPr>
            <w:tcW w:w="2551" w:type="dxa"/>
          </w:tcPr>
          <w:p>
            <w:pPr>
              <w:contextualSpacing/>
              <w:rPr>
                <w:rFonts w:hint="default"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hint="default"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Техник землеустроитель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14" w:type="dxa"/>
            <w:gridSpan w:val="4"/>
          </w:tcPr>
          <w:p>
            <w:pPr>
              <w:contextualSpacing/>
              <w:jc w:val="center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3. Объявление предостережения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3.1.</w:t>
            </w:r>
          </w:p>
        </w:tc>
        <w:tc>
          <w:tcPr>
            <w:tcW w:w="4820" w:type="dxa"/>
          </w:tcPr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Выдача контролируемому лицу предостережения о недопустимости нарушений обязательных требований при осуществлении деятельности</w:t>
            </w:r>
          </w:p>
        </w:tc>
        <w:tc>
          <w:tcPr>
            <w:tcW w:w="2268" w:type="dxa"/>
          </w:tcPr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При принятии решения должностными лицами, уполномоченными на осуществление муниципального контроля в сфере благоустройства</w:t>
            </w:r>
          </w:p>
        </w:tc>
        <w:tc>
          <w:tcPr>
            <w:tcW w:w="2551" w:type="dxa"/>
          </w:tcPr>
          <w:p>
            <w:pPr>
              <w:contextualSpacing/>
              <w:rPr>
                <w:rFonts w:hint="default"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hint="default"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Техник землеустроитель</w:t>
            </w:r>
          </w:p>
        </w:tc>
      </w:tr>
    </w:tbl>
    <w:p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</w:p>
    <w:p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>5. Показатели результативности и эффективности программы профилактики</w:t>
      </w:r>
    </w:p>
    <w:p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 xml:space="preserve"> рисков причинения вреда (ущерба)</w:t>
      </w:r>
    </w:p>
    <w:p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</w:p>
    <w:p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Оценка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снижения, причиняемого подконтрольными субъектами вреда (ущерба) охраняемым законом ценностям, при проведении профилактических мероприятий.</w:t>
      </w:r>
    </w:p>
    <w:p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Оценка эффективности Программы производится по итогам 2022 года методом сравнения показателей качества профилактической деятельности с предыдущим годом.</w:t>
      </w:r>
    </w:p>
    <w:p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К показателям качества профилактической деятельности относятся следующие:</w:t>
      </w:r>
    </w:p>
    <w:p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1. Количество выданных предписаний;</w:t>
      </w:r>
    </w:p>
    <w:p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2. Количество субъектов, которым выданы предписания;</w:t>
      </w:r>
    </w:p>
    <w:p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3.</w:t>
      </w:r>
      <w:r>
        <w:rPr>
          <w:rFonts w:ascii="PT Astra Serif" w:hAnsi="PT Astra Serif"/>
          <w:sz w:val="24"/>
          <w:szCs w:val="24"/>
        </w:rPr>
        <w:t> </w:t>
      </w:r>
      <w:r>
        <w:rPr>
          <w:rFonts w:ascii="PT Astra Serif" w:hAnsi="PT Astra Serif"/>
          <w:sz w:val="24"/>
          <w:szCs w:val="24"/>
          <w:lang w:val="ru-RU"/>
        </w:rPr>
        <w:t>Информирование юридических лиц, индивидуальных предпринимателей, граждан по вопросам соблюдения обязательных требований, оценка соблюдения которых является предметом муниципального контроля, в том числе посредством размещения на официальном сайте контрольного органа руководств (памяток), информационных статей.</w:t>
      </w:r>
    </w:p>
    <w:p>
      <w:pPr>
        <w:ind w:firstLine="709"/>
        <w:jc w:val="both"/>
        <w:rPr>
          <w:rFonts w:ascii="PT Astra Serif" w:hAnsi="PT Astra Serif"/>
          <w:bCs/>
          <w:iCs/>
          <w:sz w:val="24"/>
          <w:szCs w:val="24"/>
          <w:lang w:val="ru-RU"/>
        </w:rPr>
      </w:pPr>
      <w:r>
        <w:rPr>
          <w:rFonts w:ascii="PT Astra Serif" w:hAnsi="PT Astra Serif"/>
          <w:bCs/>
          <w:iCs/>
          <w:sz w:val="24"/>
          <w:szCs w:val="24"/>
          <w:lang w:val="ru-RU"/>
        </w:rPr>
        <w:t xml:space="preserve">Ожидаемые конечные результаты: </w:t>
      </w:r>
    </w:p>
    <w:p>
      <w:pPr>
        <w:ind w:firstLine="709"/>
        <w:jc w:val="both"/>
        <w:rPr>
          <w:rFonts w:ascii="PT Astra Serif" w:hAnsi="PT Astra Serif"/>
          <w:bCs/>
          <w:iCs/>
          <w:sz w:val="24"/>
          <w:szCs w:val="24"/>
          <w:lang w:val="ru-RU"/>
        </w:rPr>
      </w:pPr>
      <w:r>
        <w:rPr>
          <w:rFonts w:ascii="PT Astra Serif" w:hAnsi="PT Astra Serif"/>
          <w:bCs/>
          <w:iCs/>
          <w:sz w:val="24"/>
          <w:szCs w:val="24"/>
          <w:lang w:val="ru-RU"/>
        </w:rPr>
        <w:t>-</w:t>
      </w:r>
      <w:r>
        <w:rPr>
          <w:rFonts w:ascii="PT Astra Serif" w:hAnsi="PT Astra Serif"/>
          <w:bCs/>
          <w:iCs/>
          <w:sz w:val="24"/>
          <w:szCs w:val="24"/>
        </w:rPr>
        <w:t> </w:t>
      </w:r>
      <w:r>
        <w:rPr>
          <w:rFonts w:ascii="PT Astra Serif" w:hAnsi="PT Astra Serif"/>
          <w:bCs/>
          <w:iCs/>
          <w:sz w:val="24"/>
          <w:szCs w:val="24"/>
          <w:lang w:val="ru-RU"/>
        </w:rPr>
        <w:t>минимизирование количества нарушений субъектами профилактики обязательных требований, установленных Правилами благоустройства;</w:t>
      </w:r>
    </w:p>
    <w:p>
      <w:pPr>
        <w:ind w:firstLine="709"/>
        <w:jc w:val="both"/>
        <w:rPr>
          <w:rFonts w:ascii="PT Astra Serif" w:hAnsi="PT Astra Serif"/>
          <w:bCs/>
          <w:iCs/>
          <w:sz w:val="24"/>
          <w:szCs w:val="24"/>
          <w:lang w:val="ru-RU"/>
        </w:rPr>
      </w:pPr>
      <w:r>
        <w:rPr>
          <w:rFonts w:ascii="PT Astra Serif" w:hAnsi="PT Astra Serif"/>
          <w:bCs/>
          <w:iCs/>
          <w:sz w:val="24"/>
          <w:szCs w:val="24"/>
          <w:lang w:val="ru-RU"/>
        </w:rPr>
        <w:t>- снижение уровня административной нагрузки на подконтрольные субъекты.</w:t>
      </w:r>
    </w:p>
    <w:p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</w:p>
    <w:p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</w:p>
    <w:p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</w:p>
    <w:p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</w:p>
    <w:p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____________________________________________________________________________</w:t>
      </w:r>
    </w:p>
    <w:sectPr>
      <w:pgSz w:w="11906" w:h="16838"/>
      <w:pgMar w:top="1135" w:right="850" w:bottom="709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Liberation Serif">
    <w:altName w:val="Times New Roman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PT Astra Serif">
    <w:altName w:val="Times New Roman"/>
    <w:panose1 w:val="00000000000000000000"/>
    <w:charset w:val="CC"/>
    <w:family w:val="roman"/>
    <w:pitch w:val="default"/>
    <w:sig w:usb0="00000000" w:usb1="00000000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E097147"/>
    <w:multiLevelType w:val="multilevel"/>
    <w:tmpl w:val="FE097147"/>
    <w:lvl w:ilvl="0" w:tentative="0">
      <w:start w:val="1"/>
      <w:numFmt w:val="decimal"/>
      <w:suff w:val="space"/>
      <w:lvlText w:val="%1.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C81848"/>
    <w:rsid w:val="00010181"/>
    <w:rsid w:val="000530A4"/>
    <w:rsid w:val="00060EAA"/>
    <w:rsid w:val="00091A97"/>
    <w:rsid w:val="0009751E"/>
    <w:rsid w:val="000C4BF6"/>
    <w:rsid w:val="000C6C95"/>
    <w:rsid w:val="0012737D"/>
    <w:rsid w:val="001773ED"/>
    <w:rsid w:val="00177B86"/>
    <w:rsid w:val="00181F86"/>
    <w:rsid w:val="001843DB"/>
    <w:rsid w:val="001871BE"/>
    <w:rsid w:val="0019038D"/>
    <w:rsid w:val="00192BC7"/>
    <w:rsid w:val="00196BC2"/>
    <w:rsid w:val="001A025D"/>
    <w:rsid w:val="001D3A66"/>
    <w:rsid w:val="001F3490"/>
    <w:rsid w:val="002069D3"/>
    <w:rsid w:val="00273508"/>
    <w:rsid w:val="00280F86"/>
    <w:rsid w:val="002A10AE"/>
    <w:rsid w:val="002A144B"/>
    <w:rsid w:val="002A2BA4"/>
    <w:rsid w:val="002B2E3C"/>
    <w:rsid w:val="002B6766"/>
    <w:rsid w:val="002F338A"/>
    <w:rsid w:val="003072F4"/>
    <w:rsid w:val="00311A26"/>
    <w:rsid w:val="00332D53"/>
    <w:rsid w:val="00350C1B"/>
    <w:rsid w:val="00391384"/>
    <w:rsid w:val="00391AB5"/>
    <w:rsid w:val="003A08A0"/>
    <w:rsid w:val="003E06A7"/>
    <w:rsid w:val="003F26E9"/>
    <w:rsid w:val="00407B45"/>
    <w:rsid w:val="0042734B"/>
    <w:rsid w:val="00483FA1"/>
    <w:rsid w:val="00497304"/>
    <w:rsid w:val="004C2BDF"/>
    <w:rsid w:val="004F0E6B"/>
    <w:rsid w:val="004F14A2"/>
    <w:rsid w:val="004F1C32"/>
    <w:rsid w:val="004F7DAB"/>
    <w:rsid w:val="005212BE"/>
    <w:rsid w:val="005314B2"/>
    <w:rsid w:val="005322F1"/>
    <w:rsid w:val="00577DB1"/>
    <w:rsid w:val="005B5BC1"/>
    <w:rsid w:val="005C6397"/>
    <w:rsid w:val="005E2464"/>
    <w:rsid w:val="005F5AEA"/>
    <w:rsid w:val="005F6C32"/>
    <w:rsid w:val="00606161"/>
    <w:rsid w:val="00616DE6"/>
    <w:rsid w:val="00624EBD"/>
    <w:rsid w:val="00651272"/>
    <w:rsid w:val="00686987"/>
    <w:rsid w:val="006943F0"/>
    <w:rsid w:val="006A3B51"/>
    <w:rsid w:val="00707B65"/>
    <w:rsid w:val="007109A7"/>
    <w:rsid w:val="00711033"/>
    <w:rsid w:val="00716244"/>
    <w:rsid w:val="00742A93"/>
    <w:rsid w:val="007568B1"/>
    <w:rsid w:val="007613E8"/>
    <w:rsid w:val="00765BAA"/>
    <w:rsid w:val="0077549E"/>
    <w:rsid w:val="007A3CAD"/>
    <w:rsid w:val="007A4FE3"/>
    <w:rsid w:val="007C7664"/>
    <w:rsid w:val="007E6F12"/>
    <w:rsid w:val="00842E96"/>
    <w:rsid w:val="008B59E6"/>
    <w:rsid w:val="008C5C1D"/>
    <w:rsid w:val="008F550C"/>
    <w:rsid w:val="0092658B"/>
    <w:rsid w:val="00932A87"/>
    <w:rsid w:val="00934095"/>
    <w:rsid w:val="00942400"/>
    <w:rsid w:val="0096635E"/>
    <w:rsid w:val="00986B8A"/>
    <w:rsid w:val="0099677D"/>
    <w:rsid w:val="009A3B2E"/>
    <w:rsid w:val="009E63B7"/>
    <w:rsid w:val="009F608B"/>
    <w:rsid w:val="009F69DE"/>
    <w:rsid w:val="00A05711"/>
    <w:rsid w:val="00A1248B"/>
    <w:rsid w:val="00A17C8F"/>
    <w:rsid w:val="00AB467C"/>
    <w:rsid w:val="00AE6345"/>
    <w:rsid w:val="00AF0349"/>
    <w:rsid w:val="00AF602C"/>
    <w:rsid w:val="00B01E29"/>
    <w:rsid w:val="00B86BB9"/>
    <w:rsid w:val="00BA1288"/>
    <w:rsid w:val="00BD7FED"/>
    <w:rsid w:val="00BE3A32"/>
    <w:rsid w:val="00C11E69"/>
    <w:rsid w:val="00C4099E"/>
    <w:rsid w:val="00C4651C"/>
    <w:rsid w:val="00C741F3"/>
    <w:rsid w:val="00C81848"/>
    <w:rsid w:val="00C96864"/>
    <w:rsid w:val="00C97410"/>
    <w:rsid w:val="00CA1B20"/>
    <w:rsid w:val="00CA596D"/>
    <w:rsid w:val="00D01E3A"/>
    <w:rsid w:val="00D35EC6"/>
    <w:rsid w:val="00D441D1"/>
    <w:rsid w:val="00D44995"/>
    <w:rsid w:val="00D67C80"/>
    <w:rsid w:val="00D855D6"/>
    <w:rsid w:val="00D90AA2"/>
    <w:rsid w:val="00DA5AD3"/>
    <w:rsid w:val="00DC02BF"/>
    <w:rsid w:val="00E13033"/>
    <w:rsid w:val="00E61D3C"/>
    <w:rsid w:val="00EA2CC5"/>
    <w:rsid w:val="00ED7E31"/>
    <w:rsid w:val="00EE2464"/>
    <w:rsid w:val="00EE401D"/>
    <w:rsid w:val="00F26318"/>
    <w:rsid w:val="00F55A7A"/>
    <w:rsid w:val="00F674F4"/>
    <w:rsid w:val="00F75C0A"/>
    <w:rsid w:val="00F76D68"/>
    <w:rsid w:val="00F85404"/>
    <w:rsid w:val="00FD367D"/>
    <w:rsid w:val="09F64F22"/>
    <w:rsid w:val="0EE84FAD"/>
    <w:rsid w:val="47697627"/>
    <w:rsid w:val="4D380A1B"/>
    <w:rsid w:val="5A116305"/>
    <w:rsid w:val="65FB39D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1"/>
    <w:pPr>
      <w:widowControl w:val="0"/>
      <w:spacing w:after="0" w:line="240" w:lineRule="auto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1"/>
    <w:qFormat/>
    <w:uiPriority w:val="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qFormat/>
    <w:uiPriority w:val="0"/>
    <w:rPr>
      <w:color w:val="0000FF"/>
      <w:u w:val="single"/>
    </w:rPr>
  </w:style>
  <w:style w:type="paragraph" w:styleId="6">
    <w:name w:val="header"/>
    <w:basedOn w:val="1"/>
    <w:link w:val="12"/>
    <w:semiHidden/>
    <w:unhideWhenUsed/>
    <w:qFormat/>
    <w:uiPriority w:val="99"/>
    <w:pPr>
      <w:tabs>
        <w:tab w:val="center" w:pos="4677"/>
        <w:tab w:val="right" w:pos="9355"/>
      </w:tabs>
    </w:pPr>
  </w:style>
  <w:style w:type="paragraph" w:styleId="7">
    <w:name w:val="footer"/>
    <w:basedOn w:val="1"/>
    <w:link w:val="13"/>
    <w:semiHidden/>
    <w:unhideWhenUsed/>
    <w:qFormat/>
    <w:uiPriority w:val="99"/>
    <w:pPr>
      <w:tabs>
        <w:tab w:val="center" w:pos="4677"/>
        <w:tab w:val="right" w:pos="9355"/>
      </w:tabs>
    </w:p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9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 w:eastAsiaTheme="minorHAnsi"/>
      <w:color w:val="000000"/>
      <w:sz w:val="24"/>
      <w:szCs w:val="24"/>
      <w:lang w:val="ru-RU" w:eastAsia="en-US" w:bidi="ar-SA"/>
    </w:rPr>
  </w:style>
  <w:style w:type="character" w:customStyle="1" w:styleId="11">
    <w:name w:val="Заголовок 1 Знак"/>
    <w:basedOn w:val="3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12">
    <w:name w:val="Верхний колонтитул Знак"/>
    <w:basedOn w:val="3"/>
    <w:link w:val="6"/>
    <w:semiHidden/>
    <w:qFormat/>
    <w:uiPriority w:val="99"/>
  </w:style>
  <w:style w:type="character" w:customStyle="1" w:styleId="13">
    <w:name w:val="Нижний колонтитул Знак"/>
    <w:basedOn w:val="3"/>
    <w:link w:val="7"/>
    <w:semiHidden/>
    <w:qFormat/>
    <w:uiPriority w:val="99"/>
  </w:style>
  <w:style w:type="paragraph" w:customStyle="1" w:styleId="14">
    <w:name w:val="ConsPlusNormal"/>
    <w:link w:val="15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ru-RU" w:bidi="ar-SA"/>
    </w:rPr>
  </w:style>
  <w:style w:type="character" w:customStyle="1" w:styleId="15">
    <w:name w:val="ConsPlusNormal1"/>
    <w:link w:val="14"/>
    <w:qFormat/>
    <w:locked/>
    <w:uiPriority w:val="0"/>
    <w:rPr>
      <w:rFonts w:ascii="Calibri" w:hAnsi="Calibri" w:eastAsia="Times New Roman" w:cs="Calibri"/>
      <w:szCs w:val="20"/>
      <w:lang w:eastAsia="ru-RU"/>
    </w:rPr>
  </w:style>
  <w:style w:type="paragraph" w:customStyle="1" w:styleId="16">
    <w:name w:val="Обычный1"/>
    <w:qFormat/>
    <w:uiPriority w:val="0"/>
    <w:pPr>
      <w:widowControl w:val="0"/>
    </w:pPr>
    <w:rPr>
      <w:rFonts w:ascii="Times New Roman" w:hAnsi="Times New Roman" w:eastAsia="Times New Roman" w:cs="Times New Roman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4</Pages>
  <Words>1257</Words>
  <Characters>7165</Characters>
  <Lines>59</Lines>
  <Paragraphs>16</Paragraphs>
  <TotalTime>186</TotalTime>
  <ScaleCrop>false</ScaleCrop>
  <LinksUpToDate>false</LinksUpToDate>
  <CharactersWithSpaces>8406</CharactersWithSpaces>
  <Application>WPS Office_11.2.0.11417_F1E327BC-269C-435d-A152-05C5408002CA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2021-12-08T05:59:00Z</dcterms:created>
  <dc:creator>uts28</dc:creator>
  <cp:lastModifiedBy>васильевна</cp:lastModifiedBy>
  <cp:lastPrinted>2021-12-17T02:12:00Z</cp:lastPrinted>
  <dcterms:modified xsi:type="dcterms:W3CDTF">2022-12-13T05:57:48Z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1049-11.2.0.11417</vt:lpwstr>
  </property>
  <property fmtid="{D5CDD505-2E9C-101B-9397-08002B2CF9AE}" pid="3" name="ICV">
    <vt:lpwstr>24BDD1CF3DD54CCEBC69BA11F3AA3B25</vt:lpwstr>
  </property>
</Properties>
</file>